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张彦进</w:t>
      </w:r>
      <w:r>
        <w:rPr>
          <w:rFonts w:hint="eastAsia"/>
          <w:sz w:val="15"/>
          <w:szCs w:val="15"/>
          <w:highlight w:val="none"/>
        </w:rPr>
        <w:t>，</w:t>
      </w:r>
      <w:r>
        <w:rPr>
          <w:rFonts w:hint="eastAsia"/>
          <w:sz w:val="15"/>
          <w:szCs w:val="15"/>
          <w:highlight w:val="none"/>
          <w:lang w:val="en-US" w:eastAsia="zh-CN"/>
        </w:rPr>
        <w:t>132323197012301139</w:t>
      </w:r>
      <w:r>
        <w:rPr>
          <w:rFonts w:hint="eastAsia"/>
          <w:sz w:val="15"/>
          <w:szCs w:val="15"/>
        </w:rPr>
        <w:t xml:space="preserve">  </w:t>
      </w:r>
      <w:r>
        <w:rPr>
          <w:rFonts w:hint="eastAsia"/>
          <w:sz w:val="15"/>
          <w:szCs w:val="15"/>
          <w:lang w:val="en-US" w:eastAsia="zh-CN"/>
        </w:rPr>
        <w:t>冀AKF222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