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王玲燕</w:t>
      </w:r>
      <w:r>
        <w:rPr>
          <w:rFonts w:hint="eastAsia"/>
          <w:sz w:val="15"/>
          <w:szCs w:val="15"/>
          <w:highlight w:val="none"/>
        </w:rPr>
        <w:t>，</w:t>
      </w:r>
      <w:r>
        <w:rPr>
          <w:rFonts w:hint="eastAsia"/>
          <w:sz w:val="15"/>
          <w:szCs w:val="15"/>
          <w:highlight w:val="none"/>
          <w:lang w:val="en-US" w:eastAsia="zh-CN"/>
        </w:rPr>
        <w:t>130131198910020920</w:t>
      </w:r>
      <w:r>
        <w:rPr>
          <w:rFonts w:hint="eastAsia"/>
          <w:sz w:val="15"/>
          <w:szCs w:val="15"/>
        </w:rPr>
        <w:t xml:space="preserve">  </w:t>
      </w:r>
      <w:r>
        <w:rPr>
          <w:rFonts w:hint="eastAsia"/>
          <w:sz w:val="15"/>
          <w:szCs w:val="15"/>
          <w:lang w:val="en-US" w:eastAsia="zh-CN"/>
        </w:rPr>
        <w:t>沪A07026A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