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温佳</w:t>
      </w:r>
      <w:r>
        <w:rPr>
          <w:rFonts w:hint="eastAsia"/>
          <w:sz w:val="15"/>
          <w:szCs w:val="15"/>
          <w:highlight w:val="none"/>
        </w:rPr>
        <w:t>，</w:t>
      </w:r>
      <w:r>
        <w:rPr>
          <w:rFonts w:hint="eastAsia"/>
          <w:sz w:val="15"/>
          <w:szCs w:val="15"/>
          <w:highlight w:val="none"/>
          <w:lang w:val="en-US" w:eastAsia="zh-CN"/>
        </w:rPr>
        <w:t>130106198111170029</w:t>
      </w:r>
      <w:r>
        <w:rPr>
          <w:rFonts w:hint="eastAsia"/>
          <w:sz w:val="15"/>
          <w:szCs w:val="15"/>
        </w:rPr>
        <w:t xml:space="preserve">  </w:t>
      </w:r>
      <w:r>
        <w:rPr>
          <w:rFonts w:hint="eastAsia"/>
          <w:sz w:val="15"/>
          <w:szCs w:val="15"/>
          <w:lang w:val="en-US" w:eastAsia="zh-CN"/>
        </w:rPr>
        <w:t>冀A5K617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