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韩家斌</w:t>
      </w:r>
      <w:r>
        <w:rPr>
          <w:rFonts w:hint="eastAsia"/>
          <w:sz w:val="15"/>
          <w:szCs w:val="15"/>
          <w:highlight w:val="none"/>
        </w:rPr>
        <w:t>，</w:t>
      </w:r>
      <w:r>
        <w:rPr>
          <w:rFonts w:hint="eastAsia"/>
          <w:sz w:val="15"/>
          <w:szCs w:val="15"/>
          <w:highlight w:val="none"/>
          <w:lang w:val="en-US" w:eastAsia="zh-CN"/>
        </w:rPr>
        <w:t>130185198111013715</w:t>
      </w:r>
      <w:r>
        <w:rPr>
          <w:rFonts w:hint="eastAsia"/>
          <w:sz w:val="15"/>
          <w:szCs w:val="15"/>
        </w:rPr>
        <w:t xml:space="preserve">  </w:t>
      </w:r>
      <w:r>
        <w:rPr>
          <w:rFonts w:hint="eastAsia"/>
          <w:sz w:val="15"/>
          <w:szCs w:val="15"/>
          <w:lang w:val="en-US" w:eastAsia="zh-CN"/>
        </w:rPr>
        <w:t>冀A819AA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