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符艳恒</w:t>
      </w:r>
      <w:r>
        <w:rPr>
          <w:rFonts w:hint="eastAsia"/>
          <w:sz w:val="15"/>
          <w:szCs w:val="15"/>
          <w:highlight w:val="none"/>
        </w:rPr>
        <w:t>，</w:t>
      </w:r>
      <w:r>
        <w:rPr>
          <w:rFonts w:hint="eastAsia"/>
          <w:sz w:val="15"/>
          <w:szCs w:val="15"/>
          <w:highlight w:val="none"/>
          <w:lang w:val="en-US" w:eastAsia="zh-CN"/>
        </w:rPr>
        <w:t>13244219760303441X</w:t>
      </w:r>
      <w:r>
        <w:rPr>
          <w:rFonts w:hint="eastAsia"/>
          <w:sz w:val="15"/>
          <w:szCs w:val="15"/>
        </w:rPr>
        <w:t xml:space="preserve">  </w:t>
      </w:r>
      <w:r>
        <w:rPr>
          <w:rFonts w:hint="eastAsia"/>
          <w:sz w:val="15"/>
          <w:szCs w:val="15"/>
          <w:lang w:val="en-US" w:eastAsia="zh-CN"/>
        </w:rPr>
        <w:t>冀FX8225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