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丁超英</w:t>
      </w:r>
      <w:r>
        <w:rPr>
          <w:rFonts w:hint="eastAsia"/>
          <w:sz w:val="15"/>
          <w:szCs w:val="15"/>
          <w:highlight w:val="none"/>
        </w:rPr>
        <w:t>，</w:t>
      </w:r>
      <w:r>
        <w:rPr>
          <w:rFonts w:hint="eastAsia"/>
          <w:sz w:val="15"/>
          <w:szCs w:val="15"/>
          <w:highlight w:val="none"/>
          <w:lang w:val="en-US" w:eastAsia="zh-CN"/>
        </w:rPr>
        <w:t>130131199501080644</w:t>
      </w:r>
      <w:r>
        <w:rPr>
          <w:rFonts w:hint="eastAsia"/>
          <w:sz w:val="15"/>
          <w:szCs w:val="15"/>
        </w:rPr>
        <w:t xml:space="preserve">  </w:t>
      </w:r>
      <w:r>
        <w:rPr>
          <w:rFonts w:hint="eastAsia"/>
          <w:sz w:val="15"/>
          <w:szCs w:val="15"/>
          <w:lang w:val="en-US" w:eastAsia="zh-CN"/>
        </w:rPr>
        <w:t>冀A07813D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