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王会利</w:t>
      </w:r>
      <w:r>
        <w:rPr>
          <w:rFonts w:hint="eastAsia"/>
          <w:sz w:val="15"/>
          <w:szCs w:val="15"/>
          <w:highlight w:val="none"/>
        </w:rPr>
        <w:t>，</w:t>
      </w:r>
      <w:r>
        <w:rPr>
          <w:rFonts w:hint="eastAsia"/>
          <w:sz w:val="15"/>
          <w:szCs w:val="15"/>
          <w:highlight w:val="none"/>
          <w:lang w:val="en-US" w:eastAsia="zh-CN"/>
        </w:rPr>
        <w:t>130131198206231222</w:t>
      </w:r>
      <w:r>
        <w:rPr>
          <w:rFonts w:hint="eastAsia"/>
          <w:sz w:val="15"/>
          <w:szCs w:val="15"/>
        </w:rPr>
        <w:t xml:space="preserve">  </w:t>
      </w:r>
      <w:r>
        <w:rPr>
          <w:rFonts w:hint="eastAsia"/>
          <w:sz w:val="15"/>
          <w:szCs w:val="15"/>
          <w:lang w:val="en-US" w:eastAsia="zh-CN"/>
        </w:rPr>
        <w:t>沪A05775A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