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王怀利</w:t>
      </w:r>
      <w:r>
        <w:rPr>
          <w:rFonts w:hint="eastAsia"/>
          <w:sz w:val="15"/>
          <w:szCs w:val="15"/>
          <w:highlight w:val="none"/>
        </w:rPr>
        <w:t>，</w:t>
      </w:r>
      <w:r>
        <w:rPr>
          <w:rFonts w:hint="eastAsia"/>
          <w:sz w:val="15"/>
          <w:szCs w:val="15"/>
          <w:highlight w:val="none"/>
          <w:lang w:val="en-US" w:eastAsia="zh-CN"/>
        </w:rPr>
        <w:t>130131198309253619</w:t>
      </w:r>
      <w:r>
        <w:rPr>
          <w:rFonts w:hint="eastAsia"/>
          <w:sz w:val="15"/>
          <w:szCs w:val="15"/>
        </w:rPr>
        <w:t xml:space="preserve">  </w:t>
      </w:r>
      <w:r>
        <w:rPr>
          <w:rFonts w:hint="eastAsia"/>
          <w:sz w:val="15"/>
          <w:szCs w:val="15"/>
          <w:lang w:val="en-US" w:eastAsia="zh-CN"/>
        </w:rPr>
        <w:t>冀ACC907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