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李彦刚</w:t>
      </w:r>
      <w:r>
        <w:rPr>
          <w:rFonts w:hint="eastAsia"/>
          <w:sz w:val="15"/>
          <w:szCs w:val="15"/>
          <w:highlight w:val="none"/>
        </w:rPr>
        <w:t>，</w:t>
      </w:r>
      <w:r>
        <w:rPr>
          <w:rFonts w:hint="eastAsia"/>
          <w:sz w:val="15"/>
          <w:szCs w:val="15"/>
          <w:highlight w:val="none"/>
          <w:lang w:val="en-US" w:eastAsia="zh-CN"/>
        </w:rPr>
        <w:t>130131197604290012</w:t>
      </w:r>
      <w:r>
        <w:rPr>
          <w:rFonts w:hint="eastAsia"/>
          <w:sz w:val="15"/>
          <w:szCs w:val="15"/>
        </w:rPr>
        <w:t xml:space="preserve">  </w:t>
      </w:r>
      <w:r>
        <w:rPr>
          <w:rFonts w:hint="eastAsia"/>
          <w:sz w:val="15"/>
          <w:szCs w:val="15"/>
          <w:lang w:val="en-US" w:eastAsia="zh-CN"/>
        </w:rPr>
        <w:t>冀A47386D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