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1329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冯辉</w:t>
      </w:r>
      <w:r>
        <w:rPr>
          <w:rFonts w:hint="eastAsia"/>
          <w:sz w:val="15"/>
          <w:szCs w:val="15"/>
          <w:highlight w:val="none"/>
        </w:rPr>
        <w:t>，</w:t>
      </w:r>
      <w:r>
        <w:rPr>
          <w:rFonts w:hint="eastAsia"/>
          <w:sz w:val="15"/>
          <w:szCs w:val="15"/>
          <w:highlight w:val="none"/>
          <w:lang w:val="en-US" w:eastAsia="zh-CN"/>
        </w:rPr>
        <w:t>132336198201101415</w:t>
      </w:r>
      <w:r>
        <w:rPr>
          <w:rFonts w:hint="eastAsia"/>
          <w:sz w:val="15"/>
          <w:szCs w:val="15"/>
        </w:rPr>
        <w:t xml:space="preserve">  </w:t>
      </w:r>
      <w:r>
        <w:rPr>
          <w:rFonts w:hint="eastAsia"/>
          <w:sz w:val="15"/>
          <w:szCs w:val="15"/>
          <w:lang w:val="en-US" w:eastAsia="zh-CN"/>
        </w:rPr>
        <w:t>冀A594AU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