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贺东海</w:t>
      </w:r>
      <w:r>
        <w:rPr>
          <w:rFonts w:hint="eastAsia"/>
          <w:sz w:val="15"/>
          <w:szCs w:val="15"/>
          <w:highlight w:val="none"/>
        </w:rPr>
        <w:t>，</w:t>
      </w:r>
      <w:r>
        <w:rPr>
          <w:rFonts w:hint="eastAsia"/>
          <w:sz w:val="15"/>
          <w:szCs w:val="15"/>
          <w:highlight w:val="none"/>
          <w:lang w:val="en-US" w:eastAsia="zh-CN"/>
        </w:rPr>
        <w:t>132336197310060515</w:t>
      </w:r>
      <w:r>
        <w:rPr>
          <w:rFonts w:hint="eastAsia"/>
          <w:sz w:val="15"/>
          <w:szCs w:val="15"/>
        </w:rPr>
        <w:t xml:space="preserve">  </w:t>
      </w:r>
      <w:r>
        <w:rPr>
          <w:rFonts w:hint="eastAsia"/>
          <w:sz w:val="15"/>
          <w:szCs w:val="15"/>
          <w:lang w:val="en-US" w:eastAsia="zh-CN"/>
        </w:rPr>
        <w:t>京A36611D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