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郝海法</w:t>
      </w:r>
      <w:r>
        <w:rPr>
          <w:rFonts w:hint="eastAsia"/>
          <w:sz w:val="15"/>
          <w:szCs w:val="15"/>
          <w:highlight w:val="none"/>
        </w:rPr>
        <w:t>，</w:t>
      </w:r>
      <w:r>
        <w:rPr>
          <w:rFonts w:hint="eastAsia"/>
          <w:sz w:val="15"/>
          <w:szCs w:val="15"/>
          <w:highlight w:val="none"/>
          <w:lang w:val="en-US" w:eastAsia="zh-CN"/>
        </w:rPr>
        <w:t>132335197608242411</w:t>
      </w:r>
      <w:r>
        <w:rPr>
          <w:rFonts w:hint="eastAsia"/>
          <w:sz w:val="15"/>
          <w:szCs w:val="15"/>
        </w:rPr>
        <w:t xml:space="preserve">  </w:t>
      </w:r>
      <w:r>
        <w:rPr>
          <w:rFonts w:hint="eastAsia"/>
          <w:sz w:val="15"/>
          <w:szCs w:val="15"/>
          <w:lang w:val="en-US" w:eastAsia="zh-CN"/>
        </w:rPr>
        <w:t>冀A44963D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