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曹玉轩</w:t>
      </w:r>
      <w:r>
        <w:rPr>
          <w:rFonts w:hint="eastAsia"/>
          <w:sz w:val="15"/>
          <w:szCs w:val="15"/>
          <w:highlight w:val="none"/>
        </w:rPr>
        <w:t>，</w:t>
      </w:r>
      <w:r>
        <w:rPr>
          <w:rFonts w:hint="eastAsia"/>
          <w:sz w:val="15"/>
          <w:szCs w:val="15"/>
          <w:highlight w:val="none"/>
          <w:lang w:val="en-US" w:eastAsia="zh-CN"/>
        </w:rPr>
        <w:t>130631198301142014</w:t>
      </w:r>
      <w:r>
        <w:rPr>
          <w:rFonts w:hint="eastAsia"/>
          <w:sz w:val="15"/>
          <w:szCs w:val="15"/>
        </w:rPr>
        <w:t xml:space="preserve">  </w:t>
      </w:r>
      <w:r>
        <w:rPr>
          <w:rFonts w:hint="eastAsia"/>
          <w:sz w:val="15"/>
          <w:szCs w:val="15"/>
          <w:lang w:val="en-US" w:eastAsia="zh-CN"/>
        </w:rPr>
        <w:t>冀FX1093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