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张亮亮</w:t>
      </w:r>
      <w:r>
        <w:rPr>
          <w:rFonts w:hint="eastAsia"/>
          <w:sz w:val="15"/>
          <w:szCs w:val="15"/>
          <w:highlight w:val="none"/>
        </w:rPr>
        <w:t>，</w:t>
      </w:r>
      <w:r>
        <w:rPr>
          <w:rFonts w:hint="eastAsia"/>
          <w:sz w:val="15"/>
          <w:szCs w:val="15"/>
          <w:highlight w:val="none"/>
          <w:lang w:val="en-US" w:eastAsia="zh-CN"/>
        </w:rPr>
        <w:t>132335196511121192</w:t>
      </w:r>
      <w:r>
        <w:rPr>
          <w:rFonts w:hint="eastAsia"/>
          <w:sz w:val="15"/>
          <w:szCs w:val="15"/>
        </w:rPr>
        <w:t xml:space="preserve">  </w:t>
      </w:r>
      <w:r>
        <w:rPr>
          <w:rFonts w:hint="eastAsia"/>
          <w:sz w:val="15"/>
          <w:szCs w:val="15"/>
          <w:lang w:val="en-US" w:eastAsia="zh-CN"/>
        </w:rPr>
        <w:t>冀A02217D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