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刘丽静</w:t>
      </w:r>
      <w:r>
        <w:rPr>
          <w:rFonts w:hint="eastAsia"/>
          <w:sz w:val="15"/>
          <w:szCs w:val="15"/>
          <w:highlight w:val="none"/>
        </w:rPr>
        <w:t>，</w:t>
      </w:r>
      <w:r>
        <w:rPr>
          <w:rFonts w:hint="eastAsia"/>
          <w:sz w:val="15"/>
          <w:szCs w:val="15"/>
          <w:highlight w:val="none"/>
          <w:lang w:val="en-US" w:eastAsia="zh-CN"/>
        </w:rPr>
        <w:t>132335198010061346</w:t>
      </w:r>
      <w:r>
        <w:rPr>
          <w:rFonts w:hint="eastAsia"/>
          <w:sz w:val="15"/>
          <w:szCs w:val="15"/>
        </w:rPr>
        <w:t xml:space="preserve">  </w:t>
      </w:r>
      <w:r>
        <w:rPr>
          <w:rFonts w:hint="eastAsia"/>
          <w:sz w:val="15"/>
          <w:szCs w:val="15"/>
          <w:lang w:val="en-US" w:eastAsia="zh-CN"/>
        </w:rPr>
        <w:t>冀A07L11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