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1311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张新杰</w:t>
      </w:r>
      <w:r>
        <w:rPr>
          <w:rFonts w:hint="eastAsia"/>
          <w:sz w:val="15"/>
          <w:szCs w:val="15"/>
          <w:highlight w:val="none"/>
        </w:rPr>
        <w:t>，</w:t>
      </w:r>
      <w:r>
        <w:rPr>
          <w:rFonts w:hint="eastAsia"/>
          <w:sz w:val="15"/>
          <w:szCs w:val="15"/>
          <w:highlight w:val="none"/>
          <w:lang w:val="en-US" w:eastAsia="zh-CN"/>
        </w:rPr>
        <w:t>130184198204034017</w:t>
      </w:r>
      <w:r>
        <w:rPr>
          <w:rFonts w:hint="eastAsia"/>
          <w:sz w:val="15"/>
          <w:szCs w:val="15"/>
        </w:rPr>
        <w:t xml:space="preserve">  </w:t>
      </w:r>
      <w:r>
        <w:rPr>
          <w:rFonts w:hint="eastAsia"/>
          <w:sz w:val="15"/>
          <w:szCs w:val="15"/>
          <w:lang w:val="en-US" w:eastAsia="zh-CN"/>
        </w:rPr>
        <w:t>冀AHC780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