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梁倩</w:t>
      </w:r>
      <w:r>
        <w:rPr>
          <w:rFonts w:hint="eastAsia"/>
          <w:sz w:val="15"/>
          <w:szCs w:val="15"/>
          <w:highlight w:val="none"/>
        </w:rPr>
        <w:t>，</w:t>
      </w:r>
      <w:r>
        <w:rPr>
          <w:rFonts w:hint="eastAsia"/>
          <w:sz w:val="15"/>
          <w:szCs w:val="15"/>
          <w:highlight w:val="none"/>
          <w:lang w:val="en-US" w:eastAsia="zh-CN"/>
        </w:rPr>
        <w:t>13018419890113104X</w:t>
      </w:r>
      <w:r>
        <w:rPr>
          <w:rFonts w:hint="eastAsia"/>
          <w:sz w:val="15"/>
          <w:szCs w:val="15"/>
        </w:rPr>
        <w:t xml:space="preserve">  </w:t>
      </w:r>
      <w:r>
        <w:rPr>
          <w:rFonts w:hint="eastAsia"/>
          <w:sz w:val="15"/>
          <w:szCs w:val="15"/>
          <w:lang w:val="en-US" w:eastAsia="zh-CN"/>
        </w:rPr>
        <w:t>冀ACF190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