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马玉璇</w:t>
      </w:r>
      <w:r>
        <w:rPr>
          <w:rFonts w:hint="eastAsia"/>
          <w:sz w:val="15"/>
          <w:szCs w:val="15"/>
          <w:highlight w:val="none"/>
        </w:rPr>
        <w:t>，</w:t>
      </w:r>
      <w:r>
        <w:rPr>
          <w:rFonts w:hint="eastAsia"/>
          <w:sz w:val="15"/>
          <w:szCs w:val="15"/>
          <w:highlight w:val="none"/>
          <w:lang w:val="en-US" w:eastAsia="zh-CN"/>
        </w:rPr>
        <w:t>130131200607283920</w:t>
      </w:r>
      <w:r>
        <w:rPr>
          <w:rFonts w:hint="eastAsia"/>
          <w:sz w:val="15"/>
          <w:szCs w:val="15"/>
        </w:rPr>
        <w:t xml:space="preserve">  </w:t>
      </w:r>
      <w:r>
        <w:rPr>
          <w:rFonts w:hint="eastAsia"/>
          <w:sz w:val="15"/>
          <w:szCs w:val="15"/>
          <w:lang w:val="en-US" w:eastAsia="zh-CN"/>
        </w:rPr>
        <w:t>沪A13190A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