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闫江龙</w:t>
      </w:r>
      <w:r>
        <w:rPr>
          <w:rFonts w:hint="eastAsia"/>
          <w:sz w:val="15"/>
          <w:szCs w:val="15"/>
          <w:highlight w:val="none"/>
        </w:rPr>
        <w:t>，</w:t>
      </w:r>
      <w:r>
        <w:rPr>
          <w:rFonts w:hint="eastAsia"/>
          <w:sz w:val="15"/>
          <w:szCs w:val="15"/>
          <w:highlight w:val="none"/>
          <w:lang w:val="en-US" w:eastAsia="zh-CN"/>
        </w:rPr>
        <w:t>130126198901203054</w:t>
      </w:r>
      <w:r>
        <w:rPr>
          <w:rFonts w:hint="eastAsia"/>
          <w:sz w:val="15"/>
          <w:szCs w:val="15"/>
        </w:rPr>
        <w:t xml:space="preserve">  </w:t>
      </w:r>
      <w:r>
        <w:rPr>
          <w:rFonts w:hint="eastAsia"/>
          <w:sz w:val="15"/>
          <w:szCs w:val="15"/>
          <w:lang w:val="en-US" w:eastAsia="zh-CN"/>
        </w:rPr>
        <w:t>京A44781D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