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赵净朝</w:t>
      </w:r>
      <w:r>
        <w:rPr>
          <w:rFonts w:hint="eastAsia"/>
          <w:sz w:val="15"/>
          <w:szCs w:val="15"/>
          <w:highlight w:val="none"/>
        </w:rPr>
        <w:t>，</w:t>
      </w:r>
      <w:r>
        <w:rPr>
          <w:rFonts w:hint="eastAsia"/>
          <w:sz w:val="15"/>
          <w:szCs w:val="15"/>
          <w:highlight w:val="none"/>
          <w:lang w:val="en-US" w:eastAsia="zh-CN"/>
        </w:rPr>
        <w:t>130126198612042717</w:t>
      </w:r>
      <w:r>
        <w:rPr>
          <w:rFonts w:hint="eastAsia"/>
          <w:sz w:val="15"/>
          <w:szCs w:val="15"/>
        </w:rPr>
        <w:t xml:space="preserve">  </w:t>
      </w:r>
      <w:r>
        <w:rPr>
          <w:rFonts w:hint="eastAsia"/>
          <w:sz w:val="15"/>
          <w:szCs w:val="15"/>
          <w:lang w:val="en-US" w:eastAsia="zh-CN"/>
        </w:rPr>
        <w:t>冀A04762D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