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康艳花</w:t>
      </w:r>
      <w:r>
        <w:rPr>
          <w:rFonts w:hint="eastAsia"/>
          <w:sz w:val="15"/>
          <w:szCs w:val="15"/>
          <w:highlight w:val="none"/>
        </w:rPr>
        <w:t>，</w:t>
      </w:r>
      <w:r>
        <w:rPr>
          <w:rFonts w:hint="eastAsia"/>
          <w:sz w:val="15"/>
          <w:szCs w:val="15"/>
          <w:highlight w:val="none"/>
          <w:lang w:val="en-US" w:eastAsia="zh-CN"/>
        </w:rPr>
        <w:t>130126198608242724</w:t>
      </w:r>
      <w:r>
        <w:rPr>
          <w:rFonts w:hint="eastAsia"/>
          <w:sz w:val="15"/>
          <w:szCs w:val="15"/>
        </w:rPr>
        <w:t xml:space="preserve">  </w:t>
      </w:r>
      <w:r>
        <w:rPr>
          <w:rFonts w:hint="eastAsia"/>
          <w:sz w:val="15"/>
          <w:szCs w:val="15"/>
          <w:lang w:val="en-US" w:eastAsia="zh-CN"/>
        </w:rPr>
        <w:t>京A22743D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