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吴彤</w:t>
      </w:r>
      <w:r>
        <w:rPr>
          <w:rFonts w:hint="eastAsia"/>
          <w:sz w:val="15"/>
          <w:szCs w:val="15"/>
          <w:highlight w:val="none"/>
        </w:rPr>
        <w:t>，</w:t>
      </w:r>
      <w:r>
        <w:rPr>
          <w:rFonts w:hint="eastAsia"/>
          <w:sz w:val="15"/>
          <w:szCs w:val="15"/>
          <w:highlight w:val="none"/>
          <w:lang w:val="en-US" w:eastAsia="zh-CN"/>
        </w:rPr>
        <w:t>130123199101164523</w:t>
      </w:r>
      <w:r>
        <w:rPr>
          <w:rFonts w:hint="eastAsia"/>
          <w:sz w:val="15"/>
          <w:szCs w:val="15"/>
        </w:rPr>
        <w:t xml:space="preserve">  </w:t>
      </w:r>
      <w:r>
        <w:rPr>
          <w:rFonts w:hint="eastAsia"/>
          <w:sz w:val="15"/>
          <w:szCs w:val="15"/>
          <w:lang w:val="en-US" w:eastAsia="zh-CN"/>
        </w:rPr>
        <w:t>冀A3059W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