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姬青青</w:t>
      </w:r>
      <w:r>
        <w:rPr>
          <w:rFonts w:hint="eastAsia"/>
          <w:sz w:val="15"/>
          <w:szCs w:val="15"/>
          <w:highlight w:val="none"/>
        </w:rPr>
        <w:t>，</w:t>
      </w:r>
      <w:r>
        <w:rPr>
          <w:rFonts w:hint="eastAsia"/>
          <w:sz w:val="15"/>
          <w:szCs w:val="15"/>
          <w:highlight w:val="none"/>
          <w:lang w:val="en-US" w:eastAsia="zh-CN"/>
        </w:rPr>
        <w:t>130123198705054523</w:t>
      </w:r>
      <w:r>
        <w:rPr>
          <w:rFonts w:hint="eastAsia"/>
          <w:sz w:val="15"/>
          <w:szCs w:val="15"/>
        </w:rPr>
        <w:t xml:space="preserve">  </w:t>
      </w:r>
      <w:r>
        <w:rPr>
          <w:rFonts w:hint="eastAsia"/>
          <w:sz w:val="15"/>
          <w:szCs w:val="15"/>
          <w:lang w:val="en-US" w:eastAsia="zh-CN"/>
        </w:rPr>
        <w:t>冀A817AJ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