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刘亚彬</w:t>
      </w:r>
      <w:r>
        <w:rPr>
          <w:rFonts w:hint="eastAsia"/>
          <w:sz w:val="15"/>
          <w:szCs w:val="15"/>
          <w:highlight w:val="none"/>
        </w:rPr>
        <w:t>，</w:t>
      </w:r>
      <w:r>
        <w:rPr>
          <w:rFonts w:hint="eastAsia"/>
          <w:sz w:val="15"/>
          <w:szCs w:val="15"/>
          <w:highlight w:val="none"/>
          <w:lang w:val="en-US" w:eastAsia="zh-CN"/>
        </w:rPr>
        <w:t>130126199410183057</w:t>
      </w:r>
      <w:r>
        <w:rPr>
          <w:rFonts w:hint="eastAsia"/>
          <w:sz w:val="15"/>
          <w:szCs w:val="15"/>
        </w:rPr>
        <w:t xml:space="preserve">  </w:t>
      </w:r>
      <w:r>
        <w:rPr>
          <w:rFonts w:hint="eastAsia"/>
          <w:sz w:val="15"/>
          <w:szCs w:val="15"/>
          <w:lang w:val="en-US" w:eastAsia="zh-CN"/>
        </w:rPr>
        <w:t>冀A48511D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