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李国灵</w:t>
      </w:r>
      <w:r>
        <w:rPr>
          <w:rFonts w:hint="eastAsia"/>
          <w:sz w:val="15"/>
          <w:szCs w:val="15"/>
          <w:highlight w:val="none"/>
        </w:rPr>
        <w:t>，</w:t>
      </w:r>
      <w:r>
        <w:rPr>
          <w:rFonts w:hint="eastAsia"/>
          <w:sz w:val="15"/>
          <w:szCs w:val="15"/>
          <w:highlight w:val="none"/>
          <w:lang w:val="en-US" w:eastAsia="zh-CN"/>
        </w:rPr>
        <w:t>132336197712251314</w:t>
      </w:r>
      <w:r>
        <w:rPr>
          <w:rFonts w:hint="eastAsia"/>
          <w:sz w:val="15"/>
          <w:szCs w:val="15"/>
        </w:rPr>
        <w:t xml:space="preserve">  </w:t>
      </w:r>
      <w:r>
        <w:rPr>
          <w:rFonts w:hint="eastAsia"/>
          <w:sz w:val="15"/>
          <w:szCs w:val="15"/>
          <w:lang w:val="en-US" w:eastAsia="zh-CN"/>
        </w:rPr>
        <w:t>冀AR3477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