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贾素贞</w:t>
      </w:r>
      <w:r>
        <w:rPr>
          <w:rFonts w:hint="eastAsia"/>
          <w:sz w:val="15"/>
          <w:szCs w:val="15"/>
          <w:highlight w:val="none"/>
        </w:rPr>
        <w:t>，</w:t>
      </w:r>
      <w:r>
        <w:rPr>
          <w:rFonts w:hint="eastAsia"/>
          <w:sz w:val="15"/>
          <w:szCs w:val="15"/>
          <w:highlight w:val="none"/>
          <w:lang w:val="en-US" w:eastAsia="zh-CN"/>
        </w:rPr>
        <w:t>130125198904050018</w:t>
      </w:r>
      <w:r>
        <w:rPr>
          <w:rFonts w:hint="eastAsia"/>
          <w:sz w:val="15"/>
          <w:szCs w:val="15"/>
        </w:rPr>
        <w:t xml:space="preserve">  </w:t>
      </w:r>
      <w:r>
        <w:rPr>
          <w:rFonts w:hint="eastAsia"/>
          <w:sz w:val="15"/>
          <w:szCs w:val="15"/>
          <w:lang w:val="en-US" w:eastAsia="zh-CN"/>
        </w:rPr>
        <w:t>冀A69546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