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梁立新</w:t>
      </w:r>
      <w:r>
        <w:rPr>
          <w:rFonts w:hint="eastAsia"/>
          <w:sz w:val="15"/>
          <w:szCs w:val="15"/>
          <w:highlight w:val="none"/>
        </w:rPr>
        <w:t>，</w:t>
      </w:r>
      <w:r>
        <w:rPr>
          <w:rFonts w:hint="eastAsia"/>
          <w:sz w:val="15"/>
          <w:szCs w:val="15"/>
          <w:highlight w:val="none"/>
          <w:lang w:val="en-US" w:eastAsia="zh-CN"/>
        </w:rPr>
        <w:t>130125198703256554</w:t>
      </w:r>
      <w:r>
        <w:rPr>
          <w:rFonts w:hint="eastAsia"/>
          <w:sz w:val="15"/>
          <w:szCs w:val="15"/>
        </w:rPr>
        <w:t xml:space="preserve">  </w:t>
      </w:r>
      <w:r>
        <w:rPr>
          <w:rFonts w:hint="eastAsia"/>
          <w:sz w:val="15"/>
          <w:szCs w:val="15"/>
          <w:lang w:val="en-US" w:eastAsia="zh-CN"/>
        </w:rPr>
        <w:t>冀AR1821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