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李新坡</w:t>
      </w:r>
      <w:r>
        <w:rPr>
          <w:rFonts w:hint="eastAsia"/>
          <w:sz w:val="15"/>
          <w:szCs w:val="15"/>
          <w:highlight w:val="none"/>
        </w:rPr>
        <w:t>，</w:t>
      </w:r>
      <w:r>
        <w:rPr>
          <w:rFonts w:hint="eastAsia"/>
          <w:sz w:val="15"/>
          <w:szCs w:val="15"/>
          <w:highlight w:val="none"/>
          <w:lang w:val="en-US" w:eastAsia="zh-CN"/>
        </w:rPr>
        <w:t>130125198303290016</w:t>
      </w:r>
      <w:r>
        <w:rPr>
          <w:rFonts w:hint="eastAsia"/>
          <w:sz w:val="15"/>
          <w:szCs w:val="15"/>
        </w:rPr>
        <w:t xml:space="preserve">  </w:t>
      </w:r>
      <w:r>
        <w:rPr>
          <w:rFonts w:hint="eastAsia"/>
          <w:sz w:val="15"/>
          <w:szCs w:val="15"/>
          <w:lang w:val="en-US" w:eastAsia="zh-CN"/>
        </w:rPr>
        <w:t>冀A49540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