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张建亮</w:t>
      </w:r>
      <w:r>
        <w:rPr>
          <w:rFonts w:hint="eastAsia"/>
          <w:sz w:val="15"/>
          <w:szCs w:val="15"/>
          <w:highlight w:val="none"/>
        </w:rPr>
        <w:t>，</w:t>
      </w:r>
      <w:r>
        <w:rPr>
          <w:rFonts w:hint="eastAsia"/>
          <w:sz w:val="15"/>
          <w:szCs w:val="15"/>
          <w:highlight w:val="none"/>
          <w:lang w:val="en-US" w:eastAsia="zh-CN"/>
        </w:rPr>
        <w:t>130126198707023033</w:t>
      </w:r>
      <w:r>
        <w:rPr>
          <w:rFonts w:hint="eastAsia"/>
          <w:sz w:val="15"/>
          <w:szCs w:val="15"/>
        </w:rPr>
        <w:t xml:space="preserve">  </w:t>
      </w:r>
      <w:r>
        <w:rPr>
          <w:rFonts w:hint="eastAsia"/>
          <w:sz w:val="15"/>
          <w:szCs w:val="15"/>
          <w:lang w:val="en-US" w:eastAsia="zh-CN"/>
        </w:rPr>
        <w:t>冀A181ZK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