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唐志周</w:t>
      </w:r>
      <w:r>
        <w:rPr>
          <w:rFonts w:hint="eastAsia"/>
          <w:sz w:val="15"/>
          <w:szCs w:val="15"/>
          <w:highlight w:val="none"/>
        </w:rPr>
        <w:t>，</w:t>
      </w:r>
      <w:r>
        <w:rPr>
          <w:rFonts w:hint="eastAsia"/>
          <w:sz w:val="15"/>
          <w:szCs w:val="15"/>
          <w:highlight w:val="none"/>
          <w:lang w:val="en-US" w:eastAsia="zh-CN"/>
        </w:rPr>
        <w:t>130126198512261832</w:t>
      </w:r>
      <w:r>
        <w:rPr>
          <w:rFonts w:hint="eastAsia"/>
          <w:sz w:val="15"/>
          <w:szCs w:val="15"/>
        </w:rPr>
        <w:t xml:space="preserve">  </w:t>
      </w:r>
      <w:r>
        <w:rPr>
          <w:rFonts w:hint="eastAsia"/>
          <w:sz w:val="15"/>
          <w:szCs w:val="15"/>
          <w:lang w:val="en-US" w:eastAsia="zh-CN"/>
        </w:rPr>
        <w:t>冀A44781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