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乔新强</w:t>
      </w:r>
      <w:r>
        <w:rPr>
          <w:rFonts w:hint="eastAsia"/>
          <w:sz w:val="15"/>
          <w:szCs w:val="15"/>
          <w:highlight w:val="none"/>
        </w:rPr>
        <w:t>，</w:t>
      </w:r>
      <w:r>
        <w:rPr>
          <w:rFonts w:hint="eastAsia"/>
          <w:sz w:val="15"/>
          <w:szCs w:val="15"/>
          <w:highlight w:val="none"/>
          <w:lang w:val="en-US" w:eastAsia="zh-CN"/>
        </w:rPr>
        <w:t>132337197712123052</w:t>
      </w:r>
      <w:r>
        <w:rPr>
          <w:rFonts w:hint="eastAsia"/>
          <w:sz w:val="15"/>
          <w:szCs w:val="15"/>
        </w:rPr>
        <w:t xml:space="preserve">  </w:t>
      </w:r>
      <w:r>
        <w:rPr>
          <w:rFonts w:hint="eastAsia"/>
          <w:sz w:val="15"/>
          <w:szCs w:val="15"/>
          <w:lang w:val="en-US" w:eastAsia="zh-CN"/>
        </w:rPr>
        <w:t>冀AKL693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