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王立民</w:t>
      </w:r>
      <w:r>
        <w:rPr>
          <w:rFonts w:hint="eastAsia"/>
          <w:sz w:val="15"/>
          <w:szCs w:val="15"/>
          <w:highlight w:val="none"/>
        </w:rPr>
        <w:t>，</w:t>
      </w:r>
      <w:r>
        <w:rPr>
          <w:rFonts w:hint="eastAsia"/>
          <w:sz w:val="15"/>
          <w:szCs w:val="15"/>
          <w:highlight w:val="none"/>
          <w:lang w:val="en-US" w:eastAsia="zh-CN"/>
        </w:rPr>
        <w:t>132325197201012814</w:t>
      </w:r>
      <w:r>
        <w:rPr>
          <w:rFonts w:hint="eastAsia"/>
          <w:sz w:val="15"/>
          <w:szCs w:val="15"/>
        </w:rPr>
        <w:t xml:space="preserve">  </w:t>
      </w:r>
      <w:r>
        <w:rPr>
          <w:rFonts w:hint="eastAsia"/>
          <w:sz w:val="15"/>
          <w:szCs w:val="15"/>
          <w:lang w:val="en-US" w:eastAsia="zh-CN"/>
        </w:rPr>
        <w:t>冀A5130Z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