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张豪</w:t>
      </w:r>
      <w:r>
        <w:rPr>
          <w:rFonts w:hint="eastAsia"/>
          <w:sz w:val="15"/>
          <w:szCs w:val="15"/>
          <w:highlight w:val="none"/>
        </w:rPr>
        <w:t>，</w:t>
      </w:r>
      <w:r>
        <w:rPr>
          <w:rFonts w:hint="eastAsia"/>
          <w:sz w:val="15"/>
          <w:szCs w:val="15"/>
          <w:highlight w:val="none"/>
          <w:lang w:val="en-US" w:eastAsia="zh-CN"/>
        </w:rPr>
        <w:t>130125198501164539</w:t>
      </w:r>
      <w:r>
        <w:rPr>
          <w:rFonts w:hint="eastAsia"/>
          <w:sz w:val="15"/>
          <w:szCs w:val="15"/>
        </w:rPr>
        <w:t xml:space="preserve">  </w:t>
      </w:r>
      <w:r>
        <w:rPr>
          <w:rFonts w:hint="eastAsia"/>
          <w:sz w:val="15"/>
          <w:szCs w:val="15"/>
          <w:lang w:val="en-US" w:eastAsia="zh-CN"/>
        </w:rPr>
        <w:t>冀AFH244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