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乔立军</w:t>
      </w:r>
      <w:r>
        <w:rPr>
          <w:rFonts w:hint="eastAsia"/>
          <w:sz w:val="15"/>
          <w:szCs w:val="15"/>
          <w:highlight w:val="none"/>
        </w:rPr>
        <w:t>，</w:t>
      </w:r>
      <w:r>
        <w:rPr>
          <w:rFonts w:hint="eastAsia"/>
          <w:sz w:val="15"/>
          <w:szCs w:val="15"/>
          <w:highlight w:val="none"/>
          <w:lang w:val="en-US" w:eastAsia="zh-CN"/>
        </w:rPr>
        <w:t>132337198008113058</w:t>
      </w:r>
      <w:r>
        <w:rPr>
          <w:rFonts w:hint="eastAsia"/>
          <w:sz w:val="15"/>
          <w:szCs w:val="15"/>
        </w:rPr>
        <w:t xml:space="preserve">  </w:t>
      </w:r>
      <w:r>
        <w:rPr>
          <w:rFonts w:hint="eastAsia"/>
          <w:sz w:val="15"/>
          <w:szCs w:val="15"/>
          <w:lang w:val="en-US" w:eastAsia="zh-CN"/>
        </w:rPr>
        <w:t>冀AH2124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