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闫二刚</w:t>
      </w:r>
      <w:r>
        <w:rPr>
          <w:rFonts w:hint="eastAsia"/>
          <w:sz w:val="15"/>
          <w:szCs w:val="15"/>
          <w:highlight w:val="none"/>
        </w:rPr>
        <w:t>，</w:t>
      </w:r>
      <w:r>
        <w:rPr>
          <w:rFonts w:hint="eastAsia"/>
          <w:sz w:val="15"/>
          <w:szCs w:val="15"/>
          <w:highlight w:val="none"/>
          <w:lang w:val="en-US" w:eastAsia="zh-CN"/>
        </w:rPr>
        <w:t>132335197712161478</w:t>
      </w:r>
      <w:r>
        <w:rPr>
          <w:rFonts w:hint="eastAsia"/>
          <w:sz w:val="15"/>
          <w:szCs w:val="15"/>
        </w:rPr>
        <w:t xml:space="preserve">  </w:t>
      </w:r>
      <w:r>
        <w:rPr>
          <w:rFonts w:hint="eastAsia"/>
          <w:sz w:val="15"/>
          <w:szCs w:val="15"/>
          <w:lang w:val="en-US" w:eastAsia="zh-CN"/>
        </w:rPr>
        <w:t>冀A2996X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