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吕志强</w:t>
      </w:r>
      <w:r>
        <w:rPr>
          <w:rFonts w:hint="eastAsia"/>
          <w:sz w:val="15"/>
          <w:szCs w:val="15"/>
          <w:highlight w:val="none"/>
        </w:rPr>
        <w:t>，</w:t>
      </w:r>
      <w:r>
        <w:rPr>
          <w:rFonts w:hint="eastAsia"/>
          <w:sz w:val="15"/>
          <w:szCs w:val="15"/>
          <w:highlight w:val="none"/>
          <w:lang w:val="en-US" w:eastAsia="zh-CN"/>
        </w:rPr>
        <w:t>132335198201072232</w:t>
      </w:r>
      <w:r>
        <w:rPr>
          <w:rFonts w:hint="eastAsia"/>
          <w:sz w:val="15"/>
          <w:szCs w:val="15"/>
        </w:rPr>
        <w:t xml:space="preserve">  </w:t>
      </w:r>
      <w:r>
        <w:rPr>
          <w:rFonts w:hint="eastAsia"/>
          <w:sz w:val="15"/>
          <w:szCs w:val="15"/>
          <w:lang w:val="en-US" w:eastAsia="zh-CN"/>
        </w:rPr>
        <w:t>冀A7277U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