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杨石旦</w:t>
      </w:r>
      <w:r>
        <w:rPr>
          <w:rFonts w:hint="eastAsia"/>
          <w:sz w:val="15"/>
          <w:szCs w:val="15"/>
          <w:highlight w:val="none"/>
        </w:rPr>
        <w:t>，</w:t>
      </w:r>
      <w:r>
        <w:rPr>
          <w:rFonts w:hint="eastAsia"/>
          <w:sz w:val="15"/>
          <w:szCs w:val="15"/>
          <w:highlight w:val="none"/>
          <w:lang w:val="en-US" w:eastAsia="zh-CN"/>
        </w:rPr>
        <w:t>132335197612110577</w:t>
      </w:r>
      <w:r>
        <w:rPr>
          <w:rFonts w:hint="eastAsia"/>
          <w:sz w:val="15"/>
          <w:szCs w:val="15"/>
        </w:rPr>
        <w:t xml:space="preserve">  </w:t>
      </w:r>
      <w:r>
        <w:rPr>
          <w:rFonts w:hint="eastAsia"/>
          <w:sz w:val="15"/>
          <w:szCs w:val="15"/>
          <w:lang w:val="en-US" w:eastAsia="zh-CN"/>
        </w:rPr>
        <w:t>冀A7566X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