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封丽军</w:t>
      </w:r>
      <w:r>
        <w:rPr>
          <w:rFonts w:hint="eastAsia"/>
          <w:sz w:val="15"/>
          <w:szCs w:val="15"/>
          <w:highlight w:val="none"/>
        </w:rPr>
        <w:t>，</w:t>
      </w:r>
      <w:r>
        <w:rPr>
          <w:rFonts w:hint="eastAsia"/>
          <w:sz w:val="15"/>
          <w:szCs w:val="15"/>
          <w:highlight w:val="none"/>
          <w:lang w:val="en-US" w:eastAsia="zh-CN"/>
        </w:rPr>
        <w:t>130131198806132711</w:t>
      </w:r>
      <w:r>
        <w:rPr>
          <w:rFonts w:hint="eastAsia"/>
          <w:sz w:val="15"/>
          <w:szCs w:val="15"/>
        </w:rPr>
        <w:t xml:space="preserve">  </w:t>
      </w:r>
      <w:r>
        <w:rPr>
          <w:rFonts w:hint="eastAsia"/>
          <w:sz w:val="15"/>
          <w:szCs w:val="15"/>
          <w:lang w:val="en-US" w:eastAsia="zh-CN"/>
        </w:rPr>
        <w:t>冀AB9949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