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李素刚</w:t>
      </w:r>
      <w:r>
        <w:rPr>
          <w:rFonts w:hint="eastAsia"/>
          <w:sz w:val="15"/>
          <w:szCs w:val="15"/>
          <w:highlight w:val="none"/>
        </w:rPr>
        <w:t>，</w:t>
      </w:r>
      <w:r>
        <w:rPr>
          <w:rFonts w:hint="eastAsia"/>
          <w:sz w:val="15"/>
          <w:szCs w:val="15"/>
          <w:highlight w:val="none"/>
          <w:lang w:val="en-US" w:eastAsia="zh-CN"/>
        </w:rPr>
        <w:t>130123197404035412</w:t>
      </w:r>
      <w:r>
        <w:rPr>
          <w:rFonts w:hint="eastAsia"/>
          <w:sz w:val="15"/>
          <w:szCs w:val="15"/>
        </w:rPr>
        <w:t xml:space="preserve">  </w:t>
      </w:r>
      <w:r>
        <w:rPr>
          <w:rFonts w:hint="eastAsia"/>
          <w:sz w:val="15"/>
          <w:szCs w:val="15"/>
          <w:lang w:val="en-US" w:eastAsia="zh-CN"/>
        </w:rPr>
        <w:t>冀A4822W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