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仇利军</w:t>
      </w:r>
      <w:r>
        <w:rPr>
          <w:rFonts w:hint="eastAsia"/>
          <w:sz w:val="15"/>
          <w:szCs w:val="15"/>
          <w:highlight w:val="none"/>
        </w:rPr>
        <w:t>，</w:t>
      </w:r>
      <w:r>
        <w:rPr>
          <w:rFonts w:hint="eastAsia"/>
          <w:sz w:val="15"/>
          <w:szCs w:val="15"/>
          <w:highlight w:val="none"/>
          <w:lang w:val="en-US" w:eastAsia="zh-CN"/>
        </w:rPr>
        <w:t>130121198804090033</w:t>
      </w:r>
      <w:r>
        <w:rPr>
          <w:rFonts w:hint="eastAsia"/>
          <w:sz w:val="15"/>
          <w:szCs w:val="15"/>
        </w:rPr>
        <w:t xml:space="preserve">  </w:t>
      </w:r>
      <w:r>
        <w:rPr>
          <w:rFonts w:hint="eastAsia"/>
          <w:sz w:val="15"/>
          <w:szCs w:val="15"/>
          <w:lang w:val="en-US" w:eastAsia="zh-CN"/>
        </w:rPr>
        <w:t>冀A33689D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