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石志峰</w:t>
      </w:r>
      <w:r>
        <w:rPr>
          <w:rFonts w:hint="eastAsia"/>
          <w:sz w:val="15"/>
          <w:szCs w:val="15"/>
          <w:highlight w:val="none"/>
        </w:rPr>
        <w:t>，</w:t>
      </w:r>
      <w:r>
        <w:rPr>
          <w:rFonts w:hint="eastAsia"/>
          <w:sz w:val="15"/>
          <w:szCs w:val="15"/>
          <w:highlight w:val="none"/>
          <w:lang w:val="en-US" w:eastAsia="zh-CN"/>
        </w:rPr>
        <w:t>130125199109260037</w:t>
      </w:r>
      <w:r>
        <w:rPr>
          <w:rFonts w:hint="eastAsia"/>
          <w:sz w:val="15"/>
          <w:szCs w:val="15"/>
        </w:rPr>
        <w:t xml:space="preserve">  </w:t>
      </w:r>
      <w:r>
        <w:rPr>
          <w:rFonts w:hint="eastAsia"/>
          <w:sz w:val="15"/>
          <w:szCs w:val="15"/>
          <w:lang w:val="en-US" w:eastAsia="zh-CN"/>
        </w:rPr>
        <w:t>冀A39220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