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蒋立卫</w:t>
      </w:r>
      <w:r>
        <w:rPr>
          <w:rFonts w:hint="eastAsia"/>
          <w:sz w:val="15"/>
          <w:szCs w:val="15"/>
          <w:highlight w:val="none"/>
        </w:rPr>
        <w:t>，</w:t>
      </w:r>
      <w:r>
        <w:rPr>
          <w:rFonts w:hint="eastAsia"/>
          <w:sz w:val="15"/>
          <w:szCs w:val="15"/>
          <w:highlight w:val="none"/>
          <w:lang w:val="en-US" w:eastAsia="zh-CN"/>
        </w:rPr>
        <w:t>130125198209073533</w:t>
      </w:r>
      <w:r>
        <w:rPr>
          <w:rFonts w:hint="eastAsia"/>
          <w:sz w:val="15"/>
          <w:szCs w:val="15"/>
        </w:rPr>
        <w:t xml:space="preserve">  </w:t>
      </w:r>
      <w:r>
        <w:rPr>
          <w:rFonts w:hint="eastAsia"/>
          <w:sz w:val="15"/>
          <w:szCs w:val="15"/>
          <w:lang w:val="en-US" w:eastAsia="zh-CN"/>
        </w:rPr>
        <w:t>冀AX2863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