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江会昌</w:t>
      </w:r>
      <w:r>
        <w:rPr>
          <w:rFonts w:hint="eastAsia"/>
          <w:sz w:val="15"/>
          <w:szCs w:val="15"/>
          <w:highlight w:val="none"/>
        </w:rPr>
        <w:t>，</w:t>
      </w:r>
      <w:r>
        <w:rPr>
          <w:rFonts w:hint="eastAsia"/>
          <w:sz w:val="15"/>
          <w:szCs w:val="15"/>
          <w:highlight w:val="none"/>
          <w:lang w:val="en-US" w:eastAsia="zh-CN"/>
        </w:rPr>
        <w:t>13244019711019333X</w:t>
      </w:r>
      <w:r>
        <w:rPr>
          <w:rFonts w:hint="eastAsia"/>
          <w:sz w:val="15"/>
          <w:szCs w:val="15"/>
        </w:rPr>
        <w:t xml:space="preserve">  </w:t>
      </w:r>
      <w:r>
        <w:rPr>
          <w:rFonts w:hint="eastAsia"/>
          <w:sz w:val="15"/>
          <w:szCs w:val="15"/>
          <w:lang w:val="en-US" w:eastAsia="zh-CN"/>
        </w:rPr>
        <w:t>冀FT7197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