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孙锦龙</w:t>
      </w:r>
      <w:r>
        <w:rPr>
          <w:rFonts w:hint="eastAsia"/>
          <w:sz w:val="15"/>
          <w:szCs w:val="15"/>
          <w:highlight w:val="none"/>
        </w:rPr>
        <w:t>，</w:t>
      </w:r>
      <w:r>
        <w:rPr>
          <w:rFonts w:hint="eastAsia"/>
          <w:sz w:val="15"/>
          <w:szCs w:val="15"/>
          <w:highlight w:val="none"/>
          <w:lang w:val="en-US" w:eastAsia="zh-CN"/>
        </w:rPr>
        <w:t>130131198405034539</w:t>
      </w:r>
      <w:r>
        <w:rPr>
          <w:rFonts w:hint="eastAsia"/>
          <w:sz w:val="15"/>
          <w:szCs w:val="15"/>
        </w:rPr>
        <w:t xml:space="preserve">  </w:t>
      </w:r>
      <w:r>
        <w:rPr>
          <w:rFonts w:hint="eastAsia"/>
          <w:sz w:val="15"/>
          <w:szCs w:val="15"/>
          <w:lang w:val="en-US" w:eastAsia="zh-CN"/>
        </w:rPr>
        <w:t>冀A794GT</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