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张春生</w:t>
      </w:r>
      <w:r>
        <w:rPr>
          <w:rFonts w:hint="eastAsia"/>
          <w:sz w:val="15"/>
          <w:szCs w:val="15"/>
          <w:highlight w:val="none"/>
        </w:rPr>
        <w:t>，</w:t>
      </w:r>
      <w:r>
        <w:rPr>
          <w:rFonts w:hint="eastAsia"/>
          <w:sz w:val="15"/>
          <w:szCs w:val="15"/>
          <w:highlight w:val="none"/>
          <w:lang w:val="en-US" w:eastAsia="zh-CN"/>
        </w:rPr>
        <w:t>132335197202250438</w:t>
      </w:r>
      <w:r>
        <w:rPr>
          <w:rFonts w:hint="eastAsia"/>
          <w:sz w:val="15"/>
          <w:szCs w:val="15"/>
        </w:rPr>
        <w:t xml:space="preserve">  </w:t>
      </w:r>
      <w:r>
        <w:rPr>
          <w:rFonts w:hint="eastAsia"/>
          <w:sz w:val="15"/>
          <w:szCs w:val="15"/>
          <w:lang w:val="en-US" w:eastAsia="zh-CN"/>
        </w:rPr>
        <w:t>冀ARB171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