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孙玉腾</w:t>
      </w:r>
      <w:r>
        <w:rPr>
          <w:rFonts w:hint="eastAsia"/>
          <w:sz w:val="15"/>
          <w:szCs w:val="15"/>
          <w:highlight w:val="none"/>
        </w:rPr>
        <w:t>，</w:t>
      </w:r>
      <w:r>
        <w:rPr>
          <w:rFonts w:hint="eastAsia"/>
          <w:sz w:val="15"/>
          <w:szCs w:val="15"/>
          <w:highlight w:val="none"/>
          <w:lang w:val="en-US" w:eastAsia="zh-CN"/>
        </w:rPr>
        <w:t>130126198709250934</w:t>
      </w:r>
      <w:r>
        <w:rPr>
          <w:rFonts w:hint="eastAsia"/>
          <w:sz w:val="15"/>
          <w:szCs w:val="15"/>
        </w:rPr>
        <w:t xml:space="preserve">  </w:t>
      </w:r>
      <w:r>
        <w:rPr>
          <w:rFonts w:hint="eastAsia"/>
          <w:sz w:val="15"/>
          <w:szCs w:val="15"/>
          <w:lang w:val="en-US" w:eastAsia="zh-CN"/>
        </w:rPr>
        <w:t>冀A669Z2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