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陈文芳</w:t>
      </w:r>
      <w:r>
        <w:rPr>
          <w:rFonts w:hint="eastAsia"/>
          <w:sz w:val="15"/>
          <w:szCs w:val="15"/>
          <w:highlight w:val="none"/>
        </w:rPr>
        <w:t>，</w:t>
      </w:r>
      <w:r>
        <w:rPr>
          <w:rFonts w:hint="eastAsia"/>
          <w:sz w:val="15"/>
          <w:szCs w:val="15"/>
          <w:highlight w:val="none"/>
          <w:lang w:val="en-US" w:eastAsia="zh-CN"/>
        </w:rPr>
        <w:t>130126198202023919</w:t>
      </w:r>
      <w:r>
        <w:rPr>
          <w:rFonts w:hint="eastAsia"/>
          <w:sz w:val="15"/>
          <w:szCs w:val="15"/>
        </w:rPr>
        <w:t xml:space="preserve">  </w:t>
      </w:r>
      <w:r>
        <w:rPr>
          <w:rFonts w:hint="eastAsia"/>
          <w:sz w:val="15"/>
          <w:szCs w:val="15"/>
          <w:lang w:val="en-US" w:eastAsia="zh-CN"/>
        </w:rPr>
        <w:t>冀A453QN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