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吴晨亮</w:t>
      </w:r>
      <w:r>
        <w:rPr>
          <w:rFonts w:hint="eastAsia"/>
          <w:sz w:val="15"/>
          <w:szCs w:val="15"/>
          <w:highlight w:val="none"/>
        </w:rPr>
        <w:t>，</w:t>
      </w:r>
      <w:r>
        <w:rPr>
          <w:rFonts w:hint="eastAsia"/>
          <w:sz w:val="15"/>
          <w:szCs w:val="15"/>
          <w:highlight w:val="none"/>
          <w:lang w:val="en-US" w:eastAsia="zh-CN"/>
        </w:rPr>
        <w:t>130121198710041054</w:t>
      </w:r>
      <w:r>
        <w:rPr>
          <w:rFonts w:hint="eastAsia"/>
          <w:sz w:val="15"/>
          <w:szCs w:val="15"/>
        </w:rPr>
        <w:t xml:space="preserve">  </w:t>
      </w:r>
      <w:r>
        <w:rPr>
          <w:rFonts w:hint="eastAsia"/>
          <w:sz w:val="15"/>
          <w:szCs w:val="15"/>
          <w:lang w:val="en-US" w:eastAsia="zh-CN"/>
        </w:rPr>
        <w:t>晋B00370D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