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于贵刚</w:t>
      </w:r>
      <w:r>
        <w:rPr>
          <w:rFonts w:hint="eastAsia"/>
          <w:sz w:val="15"/>
          <w:szCs w:val="15"/>
          <w:highlight w:val="none"/>
        </w:rPr>
        <w:t>，</w:t>
      </w:r>
      <w:r>
        <w:rPr>
          <w:rFonts w:hint="eastAsia"/>
          <w:sz w:val="15"/>
          <w:szCs w:val="15"/>
          <w:highlight w:val="none"/>
          <w:lang w:val="en-US" w:eastAsia="zh-CN"/>
        </w:rPr>
        <w:t>130121198204171059</w:t>
      </w:r>
      <w:r>
        <w:rPr>
          <w:rFonts w:hint="eastAsia"/>
          <w:sz w:val="15"/>
          <w:szCs w:val="15"/>
        </w:rPr>
        <w:t xml:space="preserve">  </w:t>
      </w:r>
      <w:r>
        <w:rPr>
          <w:rFonts w:hint="eastAsia"/>
          <w:sz w:val="15"/>
          <w:szCs w:val="15"/>
          <w:lang w:val="en-US" w:eastAsia="zh-CN"/>
        </w:rPr>
        <w:t>冀A44377D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