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曾蕴牛</w:t>
      </w:r>
      <w:r>
        <w:rPr>
          <w:rFonts w:hint="eastAsia"/>
          <w:sz w:val="15"/>
          <w:szCs w:val="15"/>
          <w:highlight w:val="none"/>
        </w:rPr>
        <w:t>，</w:t>
      </w:r>
      <w:r>
        <w:rPr>
          <w:rFonts w:hint="eastAsia"/>
          <w:sz w:val="15"/>
          <w:szCs w:val="15"/>
          <w:highlight w:val="none"/>
          <w:lang w:val="en-US" w:eastAsia="zh-CN"/>
        </w:rPr>
        <w:t>130121198504220035</w:t>
      </w:r>
      <w:r>
        <w:rPr>
          <w:rFonts w:hint="eastAsia"/>
          <w:sz w:val="15"/>
          <w:szCs w:val="15"/>
        </w:rPr>
        <w:t xml:space="preserve">  </w:t>
      </w:r>
      <w:r>
        <w:rPr>
          <w:rFonts w:hint="eastAsia"/>
          <w:sz w:val="15"/>
          <w:szCs w:val="15"/>
          <w:lang w:val="en-US" w:eastAsia="zh-CN"/>
        </w:rPr>
        <w:t>冀AAX994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